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GNP Gun Oil mazivo na zbraně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Gun Oil byl vyvinut tak, aby zajistil hladkou a spolehlivou funkci střelných zbraní. Obsahuje nanočástice, které proniknou do struktury kovového povrchu, na kterém zaplní mikrotrhliny, zahladí nerovnosti a vytvoří na něm tenkou ochrannou vrstvu. Ta spolu s dalšími složkami roztoku sníží tření a perfektně promaže mechanismus zbraně. Nanočástice dále zabrání přístupu vody a kyslíku ke kovu, čímž zamezí jeho korozi.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 dokonalé odstranění povýstřelových zplodin doporučujeme využít přípravek GNP Gun Cleaner. Pro perfektní odmaštění doporučujeme využit produkt GNP Degreaser Cleaner odmašťovač na zbraně.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Jak vaší zbrani pomůže?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nrazb7hcpug6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Zakonzervuje</w:t>
        <w:br w:type="textWrapping"/>
      </w:r>
      <w:r w:rsidDel="00000000" w:rsidR="00000000" w:rsidRPr="00000000">
        <w:rPr>
          <w:color w:val="000000"/>
          <w:rtl w:val="0"/>
        </w:rPr>
        <w:t xml:space="preserve">GNP Gun Oil vytěsní molekuly vody a vytvoří ochranný film. Tím ochrání povrch i vnitřní mechanismy zbraně před rezavěním – při skladování i použití v terénu.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trescswipam7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Promaže</w:t>
        <w:br w:type="textWrapping"/>
      </w:r>
      <w:r w:rsidDel="00000000" w:rsidR="00000000" w:rsidRPr="00000000">
        <w:rPr>
          <w:color w:val="000000"/>
          <w:rtl w:val="0"/>
        </w:rPr>
        <w:t xml:space="preserve">GNP Gun Oil rychle a efektivně promaže všechny pohyblivé mechanismy zbraně a zajistí ji 100% funkci.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2et92p0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Nenaruší dřevo, plast, gumu</w:t>
        <w:br w:type="textWrapping"/>
      </w:r>
      <w:r w:rsidDel="00000000" w:rsidR="00000000" w:rsidRPr="00000000">
        <w:rPr>
          <w:color w:val="000000"/>
          <w:rtl w:val="0"/>
        </w:rPr>
        <w:t xml:space="preserve">Oproti konkurenčním výrobkům je přípravek k běžným materiálům šetrný. Aplikací roztoku nepoškodíte okrasné ani funkční prvky z gumy, dřeva či plastů.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/>
      </w:pPr>
      <w:bookmarkStart w:colFirst="0" w:colLast="0" w:name="_x500ibjiympo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Ochrání před zmrznutím</w:t>
        <w:br w:type="textWrapping"/>
      </w:r>
      <w:r w:rsidDel="00000000" w:rsidR="00000000" w:rsidRPr="00000000">
        <w:rPr>
          <w:color w:val="000000"/>
          <w:rtl w:val="0"/>
        </w:rPr>
        <w:t xml:space="preserve">Gun Oil si své mazací a konzervační vlastnosti zachovává až do -40 °C. Máte tak jistotu, že vás zbraň bude poslouchat i v hlubokých mrazech.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Jak GNP Gun Oil funguje?</w:t>
      </w:r>
    </w:p>
    <w:p w:rsidR="00000000" w:rsidDel="00000000" w:rsidP="00000000" w:rsidRDefault="00000000" w:rsidRPr="00000000" w14:paraId="0000000A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Základem našich přípravků jsou nanočástice odpuzující vodu. Díky nosnému médiu na bázi oleje proniknou částice korozí, rozprostřou se po kovovém povrchu součástek a přilnou k nim. Vytěsní vlhkost a vytvoří bariéru, přes kterou další molekuly vody už neprojdou.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nikofy97r7ow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Nanočástice ve spreji vyčistí: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hlaveň, závěr a kohout,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vratnou a bicí pružinu, pružinu úderníku,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veškeré kovové části zbraně,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pohyblivé mechanismy zbraně.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3dy6vkm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Jak sprej použít: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Gun Oil používejte jen s ochrannými rukavicemi a v dobře větraných prostorách. Před použitím sprej důkladně protřepejte.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Před aplikací se ujistěte, že je zbraň vybitá a v komoře není náboj. Přípravek nanášejte na zbraňové součástky ohřáté na pokojovou teplotu.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Aplikujte ze vzdálenosti 20 - 30 cm nebo dle potřeby.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 nanesení na povrch se nanovrstva plně aktivuje během 10 minut.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 uplynutí této doby je možné setřít přebytečný roztok. Pro získání maximální funkčnosti ochrany je zapotřebí vyčkat 24 hodin. Během této doby roztok pronikne do hloubky mechanismu.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1t3h5sf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9">
      <w:pPr>
        <w:spacing w:after="24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Zachování antikorozních a mazacích vlastností až po dobu 1 roku. Spotřeba: cca 50 - 100 ml na 1 m2 (podle míry znečištění). Obsah balení: 200 a 400 ml. Doba použitelnosti: 5 let od data výroby.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4d34og8" w:id="9"/>
      <w:bookmarkEnd w:id="9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Vysoce čisté minerální oleje, uhlovodíky, n-alkany, isoalkany, cyklické, propan, butan, isobutan, příměs GNP.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